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22" w:type="dxa"/>
        <w:tblInd w:w="-108" w:type="dxa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E96B0D" w14:paraId="38C69F73" w14:textId="77777777" w:rsidTr="4817C257">
        <w:tc>
          <w:tcPr>
            <w:tcW w:w="9322" w:type="dxa"/>
            <w:tcBorders>
              <w:top w:val="single" w:sz="2" w:space="0" w:color="D9D9D9" w:themeColor="background1" w:themeShade="D9"/>
              <w:left w:val="nil"/>
              <w:bottom w:val="nil"/>
              <w:right w:val="nil"/>
            </w:tcBorders>
          </w:tcPr>
          <w:p w14:paraId="75A8892C" w14:textId="77777777" w:rsidR="00E96B0D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  <w:p w14:paraId="5DA353AB" w14:textId="77777777" w:rsidR="00E96B0D" w:rsidRPr="00C81B8B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Brian Godman, Magdalene Wladysiuk, Stuart McTaggart, Amanj Kurdi, Eleonora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Allocati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Mihajlo Jakovljevic, 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Francis Kalemeera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et al., 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"Corrigendum to “</w:t>
            </w:r>
            <w:proofErr w:type="spellStart"/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Utilisation</w:t>
            </w:r>
            <w:proofErr w:type="spellEnd"/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Trend of Long-Acting Insulin Analogues including Biosimilars across Europe: Findings and Implications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”, BioMed Research International, vol. 2023, Article ID 9757348, 3 pages, 2023. </w:t>
            </w:r>
            <w:hyperlink r:id="rId5" w:history="1">
              <w:r w:rsidRPr="00C81B8B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https://doi.org/10.1155/2023/9757348</w:t>
              </w:r>
            </w:hyperlink>
          </w:p>
          <w:p w14:paraId="5DCDBC88" w14:textId="77777777" w:rsidR="00E96B0D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21ED4954" w14:textId="77777777" w:rsidTr="4817C257">
        <w:tc>
          <w:tcPr>
            <w:tcW w:w="9322" w:type="dxa"/>
            <w:tcBorders>
              <w:top w:val="nil"/>
            </w:tcBorders>
          </w:tcPr>
          <w:p w14:paraId="36DFC3CA" w14:textId="77777777" w:rsidR="00E96B0D" w:rsidRPr="00C81B8B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Kalemeera</w:t>
            </w:r>
            <w:proofErr w:type="spellEnd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F, 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Godman B,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Stergachis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A, Rennie T. 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Effect of tenofovir containing ART on renal function in patients with moderate/severe reduced creatinine clearance at baseline: A retrospective study at two referral hospitals in Namibia.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Pharmacol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Res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Perspect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2023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;11: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e00681. https://doi.org/10.1002/prp2.681</w:t>
            </w:r>
          </w:p>
          <w:p w14:paraId="4166DB06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4802DF4A" w14:textId="77777777" w:rsidTr="4817C257">
        <w:tc>
          <w:tcPr>
            <w:tcW w:w="9322" w:type="dxa"/>
            <w:tcBorders>
              <w:bottom w:val="nil"/>
            </w:tcBorders>
          </w:tcPr>
          <w:p w14:paraId="2722CE52" w14:textId="77777777" w:rsidR="00E96B0D" w:rsidRPr="00C81B8B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Brian Godman, Abiodun Egwuenu, Evelyn Wesangula, Natalie Schellack, Aubrey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Chichonyi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Kalungia, Celda Tiroyakgosi, Joyce Kgatlwane, Julius C. Mwita,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Okwen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Patrick, Loveline Lum Niba, Adefolarin A. Amu, Racheal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Tomilola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Oguntade, Mobolaji Eniola Alabi,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Nondumiso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B. Q. Ncube, Israel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Abebrese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Sefah, Joseph Acolatse, Robert Incoom, Anastasia Nkatha Guantai, Margaret Oluka, Sylvia Opanga, Ibrahim Chikowe, Felix Khuluza, Francis K. Chiumia, Collins Edward Jana, 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Francis Kalemeera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et al., (2022) 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Tackling antimicrobial resistance across sub-Saharan Africa: current challenges and implications for the future,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 Expert Opinion on Drug Safety, 21:8, 1089-1111, DOI: </w:t>
            </w:r>
            <w:hyperlink r:id="rId6" w:history="1">
              <w:r w:rsidRPr="00C81B8B"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en-US"/>
                </w:rPr>
                <w:t>10.1080/14740338.2022.2106368</w:t>
              </w:r>
            </w:hyperlink>
          </w:p>
          <w:p w14:paraId="7D51D91B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415E42" w14:paraId="4BA3C3FF" w14:textId="77777777" w:rsidTr="4817C257">
        <w:tc>
          <w:tcPr>
            <w:tcW w:w="9322" w:type="dxa"/>
            <w:tcBorders>
              <w:bottom w:val="nil"/>
            </w:tcBorders>
          </w:tcPr>
          <w:p w14:paraId="313CE4BD" w14:textId="77777777" w:rsidR="00E96B0D" w:rsidRPr="00317040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31704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Akter F, Haque M, Akter S, Uddin G, Chy N, </w:t>
            </w:r>
            <w:proofErr w:type="spellStart"/>
            <w:r w:rsidRPr="00317040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Kalemeera</w:t>
            </w:r>
            <w:proofErr w:type="spellEnd"/>
            <w:r w:rsidRPr="00317040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F</w:t>
            </w:r>
            <w:r w:rsidRPr="0031704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Kurdi A, Chowdhury K, Godman B. </w:t>
            </w:r>
            <w:r w:rsidRPr="00317040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Assessing the management of patients with type 2 diabetes in Bangladesh during pre- and post-COVID-19 era and the implications: A pilot study</w:t>
            </w:r>
            <w:r w:rsidRPr="0031704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. J Appl Pharm Sci, 2022; 12(05):088–097</w:t>
            </w:r>
          </w:p>
          <w:p w14:paraId="081FEBBF" w14:textId="77777777" w:rsidR="00E96B0D" w:rsidRPr="00415E42" w:rsidRDefault="00E96B0D" w:rsidP="00CA301D">
            <w:p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415E42" w14:paraId="469F2DFC" w14:textId="77777777" w:rsidTr="4817C257">
        <w:tc>
          <w:tcPr>
            <w:tcW w:w="9322" w:type="dxa"/>
            <w:tcBorders>
              <w:top w:val="nil"/>
            </w:tcBorders>
          </w:tcPr>
          <w:p w14:paraId="64A2DDA9" w14:textId="77777777" w:rsidR="00E96B0D" w:rsidRPr="00444F7E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44F7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Godman, Brian and Tubić, Biljana and </w:t>
            </w:r>
            <w:proofErr w:type="spellStart"/>
            <w:r w:rsidRPr="00444F7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Allocati</w:t>
            </w:r>
            <w:proofErr w:type="spellEnd"/>
            <w:r w:rsidRPr="00444F7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Eleonora and Wladysiuk, Magdalene and McTaggart, Stuart and Kurdi, Amanj and Haque, </w:t>
            </w:r>
            <w:proofErr w:type="spellStart"/>
            <w:r w:rsidRPr="00444F7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Mainul</w:t>
            </w:r>
            <w:proofErr w:type="spellEnd"/>
            <w:r w:rsidRPr="00444F7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and MacBride-Stewart, Sean and </w:t>
            </w:r>
            <w:proofErr w:type="spellStart"/>
            <w:r w:rsidRPr="00444F7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Kalemeera</w:t>
            </w:r>
            <w:proofErr w:type="spellEnd"/>
            <w:r w:rsidRPr="00444F7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, Francis</w:t>
            </w:r>
            <w:r w:rsidRPr="00444F7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et al., (2022) </w:t>
            </w:r>
            <w:r w:rsidRPr="00444F7E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Biosimilars are essential for sustainable healthcare systems across Europe; however, key challenges remain as seen with biosimilars for long-acting insulin analogue</w:t>
            </w:r>
            <w:r w:rsidRPr="00444F7E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s. </w:t>
            </w:r>
            <w:r w:rsidRPr="00444F7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Journal of Applied Pharmaceutical Science, 12 (3). pp. 55-72. ISSN 2231-3354 (</w:t>
            </w:r>
            <w:hyperlink r:id="rId7" w:history="1">
              <w:r w:rsidRPr="00444F7E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https://doi.org/10.7324/JAPS.2022.120306</w:t>
              </w:r>
            </w:hyperlink>
            <w:r w:rsidRPr="00444F7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14:paraId="571E75EF" w14:textId="77777777" w:rsidR="00E96B0D" w:rsidRPr="00415E42" w:rsidRDefault="00E96B0D" w:rsidP="00CA301D">
            <w:pPr>
              <w:spacing w:before="20" w:after="2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89094B" w14:paraId="6CC19C34" w14:textId="77777777" w:rsidTr="4817C257">
        <w:tc>
          <w:tcPr>
            <w:tcW w:w="9322" w:type="dxa"/>
          </w:tcPr>
          <w:p w14:paraId="63B4066B" w14:textId="77777777" w:rsidR="00E96B0D" w:rsidRPr="00907F79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Haindongo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EH, Funtua B,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Singu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B, 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Hedimbi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M, </w:t>
            </w:r>
            <w:proofErr w:type="spellStart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Kalemeera</w:t>
            </w:r>
            <w:proofErr w:type="spellEnd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F,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Hamman, J, Vainio O, Hakanen AJ,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Vuopio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J.  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Antimicrobial resistance among bacteria isolated from urinary tract infections in females in Namibi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a, 2016-2017.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Antimicrob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Resist Infect Control. 2022 Feb 12;11(1):33.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doi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: 10.1186/s13756-022-01066-2. PMID: 35151360. </w:t>
            </w:r>
          </w:p>
          <w:p w14:paraId="0C6729F7" w14:textId="77777777" w:rsidR="00E96B0D" w:rsidRPr="0089094B" w:rsidRDefault="00E96B0D" w:rsidP="00CA301D">
            <w:pPr>
              <w:spacing w:before="20" w:after="2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73B37060" w14:textId="77777777" w:rsidTr="4817C257">
        <w:tc>
          <w:tcPr>
            <w:tcW w:w="9322" w:type="dxa"/>
          </w:tcPr>
          <w:p w14:paraId="5A926EED" w14:textId="77777777" w:rsidR="00E96B0D" w:rsidRPr="00701976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01976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Kalemeera</w:t>
            </w:r>
            <w:proofErr w:type="spellEnd"/>
            <w:r w:rsidRPr="00701976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, F</w:t>
            </w:r>
            <w:r w:rsidRPr="0070197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0197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Ndevahoma</w:t>
            </w:r>
            <w:proofErr w:type="spellEnd"/>
            <w:r w:rsidRPr="0070197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S, Mubita, M, &amp; Godman, B. (</w:t>
            </w:r>
            <w:r w:rsidRPr="00701976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2022</w:t>
            </w:r>
            <w:r w:rsidRPr="0070197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).</w:t>
            </w:r>
            <w:r w:rsidRPr="0070197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 Evaluation of Namibia’s antiretroviral therapy guidelines’ recommendations for switching from </w:t>
            </w:r>
            <w:proofErr w:type="gramStart"/>
            <w:r w:rsidRPr="0070197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first-line</w:t>
            </w:r>
            <w:proofErr w:type="gramEnd"/>
            <w:r w:rsidRPr="0070197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to </w:t>
            </w:r>
            <w:proofErr w:type="gramStart"/>
            <w:r w:rsidRPr="0070197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second-line</w:t>
            </w:r>
            <w:proofErr w:type="gramEnd"/>
            <w:r w:rsidRPr="0070197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, using predictors of first-line treatment failure: an exploratory study.</w:t>
            </w:r>
            <w:r w:rsidRPr="0070197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 Expert Review of Anti-Infective Therapy, 20:6, 915-921, </w:t>
            </w:r>
            <w:proofErr w:type="spellStart"/>
            <w:r>
              <w:fldChar w:fldCharType="begin"/>
            </w:r>
            <w:r>
              <w:instrText>HYPERLINK "https://doi.org/10.1080/147" \t "_blank"</w:instrText>
            </w:r>
            <w:r>
              <w:fldChar w:fldCharType="separate"/>
            </w:r>
            <w:r w:rsidRPr="0070197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doi</w:t>
            </w:r>
            <w:proofErr w:type="spellEnd"/>
            <w:r w:rsidRPr="0070197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:/10.1080/147</w:t>
            </w:r>
            <w:r>
              <w:fldChar w:fldCharType="end"/>
            </w:r>
            <w:r w:rsidRPr="0070197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87210.2022.2015325</w:t>
            </w:r>
          </w:p>
          <w:p w14:paraId="3EB653A3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701976" w14:paraId="0A73E809" w14:textId="77777777" w:rsidTr="4817C257">
        <w:tc>
          <w:tcPr>
            <w:tcW w:w="9322" w:type="dxa"/>
          </w:tcPr>
          <w:p w14:paraId="45EAFCC0" w14:textId="77777777" w:rsidR="00E96B0D" w:rsidRPr="00C81B8B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Etando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Ayukafangha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Adefolarin A. Amu,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Mainul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Haque, Natalie Schellack, Amanj Kurdi, Alian A.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Alrasheedy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Angela Timoney, Julius C. Mwita, Godfrey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Mutashambara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Rwegerera,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Okwen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Patrick… 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Francis Kalemeera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et al., 2021. 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Challenges and Innovations Brought about by the COVID-19 Pandemic Regarding Medical and Pharmacy Education Especially in Africa and Implications for the Future. 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Healthcare 9, no. 12: 1722. https://doi.org/10.3390/healthcare9121722s</w:t>
            </w:r>
          </w:p>
          <w:p w14:paraId="62EF1E8D" w14:textId="77777777" w:rsidR="00E96B0D" w:rsidRPr="00701976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701976" w14:paraId="052E43C6" w14:textId="77777777" w:rsidTr="4817C257">
        <w:tc>
          <w:tcPr>
            <w:tcW w:w="9322" w:type="dxa"/>
          </w:tcPr>
          <w:p w14:paraId="1B994876" w14:textId="77777777" w:rsidR="00E96B0D" w:rsidRPr="00C81B8B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DC112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it-IT"/>
              </w:rPr>
              <w:t>Hango E, </w:t>
            </w:r>
            <w:r>
              <w:fldChar w:fldCharType="begin"/>
            </w:r>
            <w:r w:rsidRPr="00D536B2">
              <w:rPr>
                <w:lang w:val="it-IT"/>
              </w:rPr>
              <w:instrText>HYPERLINK "https://pubmed.ncbi.nlm.nih.gov/?term=Amakali+K&amp;cauthor_id=34720025" \t "_blank"</w:instrText>
            </w:r>
            <w:r>
              <w:fldChar w:fldCharType="separate"/>
            </w:r>
            <w:r w:rsidRPr="00DC112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it-IT"/>
              </w:rPr>
              <w:t>Amakali</w:t>
            </w:r>
            <w:r>
              <w:fldChar w:fldCharType="end"/>
            </w:r>
            <w:r w:rsidRPr="00DC112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it-IT"/>
              </w:rPr>
              <w:t xml:space="preserve"> K, </w:t>
            </w:r>
            <w:r>
              <w:fldChar w:fldCharType="begin"/>
            </w:r>
            <w:r w:rsidRPr="00D536B2">
              <w:rPr>
                <w:lang w:val="it-IT"/>
              </w:rPr>
              <w:instrText>HYPERLINK "https://pubmed.ncbi.nlm.nih.gov/?term=Shilunga+A&amp;cauthor_id=34720025" \t "_blank"</w:instrText>
            </w:r>
            <w:r>
              <w:fldChar w:fldCharType="separate"/>
            </w:r>
            <w:r w:rsidRPr="00DC112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it-IT"/>
              </w:rPr>
              <w:t>Shilunga</w:t>
            </w:r>
            <w:r>
              <w:fldChar w:fldCharType="end"/>
            </w:r>
            <w:r w:rsidRPr="00DC112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it-IT"/>
              </w:rPr>
              <w:t>  A , </w:t>
            </w:r>
            <w:hyperlink r:id="rId8" w:tgtFrame="_blank" w:history="1">
              <w:r w:rsidRPr="00DC1129"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it-IT"/>
                </w:rPr>
                <w:t>Kibuule</w:t>
              </w:r>
            </w:hyperlink>
            <w:r w:rsidRPr="00DC112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it-IT"/>
              </w:rPr>
              <w:t xml:space="preserve"> D, </w:t>
            </w:r>
            <w:r>
              <w:fldChar w:fldCharType="begin"/>
            </w:r>
            <w:r w:rsidRPr="00D536B2">
              <w:rPr>
                <w:lang w:val="it-IT"/>
              </w:rPr>
              <w:instrText>HYPERLINK "https://pubmed.ncbi.nlm.nih.gov/?term=Godman+B&amp;cauthor_id=34720025" \t "_blank"</w:instrText>
            </w:r>
            <w:r>
              <w:fldChar w:fldCharType="separate"/>
            </w:r>
            <w:r w:rsidRPr="00DC112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it-IT"/>
              </w:rPr>
              <w:t>Godman</w:t>
            </w:r>
            <w:r>
              <w:fldChar w:fldCharType="end"/>
            </w:r>
            <w:r w:rsidRPr="00DC112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it-IT"/>
              </w:rPr>
              <w:t xml:space="preserve"> B,</w:t>
            </w:r>
            <w:r w:rsidRPr="00DC1129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it-IT"/>
              </w:rPr>
              <w:t> </w:t>
            </w:r>
            <w:hyperlink r:id="rId9" w:tgtFrame="_blank" w:history="1">
              <w:r w:rsidRPr="00DC1129"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0"/>
                  <w:szCs w:val="20"/>
                  <w:lang w:val="it-IT"/>
                </w:rPr>
                <w:t>Kalemeera</w:t>
              </w:r>
            </w:hyperlink>
            <w:r w:rsidRPr="00DC1129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it-IT"/>
              </w:rPr>
              <w:t>  F,</w:t>
            </w:r>
            <w:r w:rsidRPr="00DC112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it-IT"/>
              </w:rPr>
              <w:t xml:space="preserve"> (2021). 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Assessing smoking cessation services and pharmacotherapy in Namibia; findings and implications for future policy initiatives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Expert Rev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Pharmacoecon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Outcomes Res.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doi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:  10.1080/14737167.2022.2000863  </w:t>
            </w:r>
            <w:hyperlink r:id="rId10" w:history="1">
              <w:r w:rsidRPr="00062C23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https://pubmed.ncbi.nlm.nih.gov/34720025/</w:t>
              </w:r>
            </w:hyperlink>
          </w:p>
          <w:p w14:paraId="627D8A44" w14:textId="77777777" w:rsidR="00E96B0D" w:rsidRPr="00701976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3BDAD12C" w14:textId="77777777" w:rsidTr="4817C257">
        <w:tc>
          <w:tcPr>
            <w:tcW w:w="9322" w:type="dxa"/>
            <w:tcBorders>
              <w:bottom w:val="nil"/>
            </w:tcBorders>
          </w:tcPr>
          <w:p w14:paraId="5AEABA13" w14:textId="77777777" w:rsidR="00E96B0D" w:rsidRPr="005F1B96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215C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Akter F, Haque M, </w:t>
            </w:r>
            <w:proofErr w:type="spellStart"/>
            <w:r w:rsidRPr="00D215C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Kalemeera</w:t>
            </w:r>
            <w:proofErr w:type="spellEnd"/>
            <w:r w:rsidRPr="00D215C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F</w:t>
            </w:r>
            <w:r w:rsidRPr="00D215C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Kurdi A, Godman B. </w:t>
            </w:r>
            <w:r w:rsidRPr="00D215C5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Key issues surrounding the management of non-communicable diseases including the management of diabetes post COVID-19 among developing countries with a specific focus on Bangladesh</w:t>
            </w:r>
            <w:r w:rsidRPr="00D215C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. J App Pharm Sci, 2021; 11(12); 2021: </w:t>
            </w:r>
            <w:proofErr w:type="spellStart"/>
            <w:r w:rsidRPr="00D215C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D215C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-v</w:t>
            </w:r>
          </w:p>
          <w:p w14:paraId="79F15F1D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016AD57D" w14:textId="77777777" w:rsidTr="4817C257">
        <w:tc>
          <w:tcPr>
            <w:tcW w:w="9322" w:type="dxa"/>
            <w:tcBorders>
              <w:bottom w:val="nil"/>
            </w:tcBorders>
          </w:tcPr>
          <w:p w14:paraId="549765B7" w14:textId="77777777" w:rsidR="00E96B0D" w:rsidRPr="00C81B8B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Godman B,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Wladysiuk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M, McTaggart S, Kurdi A,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Allocati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E, Jakovljevic M, </w:t>
            </w:r>
            <w:proofErr w:type="spellStart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Kalemeera</w:t>
            </w:r>
            <w:proofErr w:type="spellEnd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F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et al., (2021) </w:t>
            </w:r>
            <w:proofErr w:type="spellStart"/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Utilisation</w:t>
            </w:r>
            <w:proofErr w:type="spellEnd"/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Trend of Long-Acting Insulin Analogues including Biosimilars across Europe: Findings and Implications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. Biomed Res Int. 2021 Oct </w:t>
            </w:r>
            <w:proofErr w:type="gram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11;2021:9996193</w:t>
            </w:r>
            <w:proofErr w:type="gram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doi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: 10.1155/2021/9996193. Erratum in: Biomed Res Int. 2023 Apr </w:t>
            </w:r>
            <w:proofErr w:type="gram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7;2023:9757348</w:t>
            </w:r>
            <w:proofErr w:type="gram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. PMID: 34676266; PMCID: PMC8526244.pharmaLi</w:t>
            </w:r>
          </w:p>
          <w:p w14:paraId="4F260A6D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10785505" w14:textId="77777777" w:rsidTr="4817C257">
        <w:tc>
          <w:tcPr>
            <w:tcW w:w="9322" w:type="dxa"/>
            <w:tcBorders>
              <w:top w:val="nil"/>
            </w:tcBorders>
          </w:tcPr>
          <w:p w14:paraId="7A8CC05F" w14:textId="77777777" w:rsidR="00E96B0D" w:rsidRPr="008A24C6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A24C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</w:t>
            </w:r>
            <w:hyperlink r:id="rId11" w:tgtFrame="_blank" w:history="1">
              <w:r w:rsidRPr="008A24C6"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en-US"/>
                </w:rPr>
                <w:t>ia Simeon</w:t>
              </w:r>
            </w:hyperlink>
            <w:r w:rsidRPr="008A24C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 </w:t>
            </w:r>
            <w:hyperlink r:id="rId12" w:tgtFrame="_blank" w:history="1">
              <w:r w:rsidRPr="008A24C6"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en-US"/>
                </w:rPr>
                <w:t>Brian Godman</w:t>
              </w:r>
            </w:hyperlink>
            <w:r w:rsidRPr="008A24C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  </w:t>
            </w:r>
            <w:hyperlink r:id="rId13" w:tgtFrame="_blank" w:history="1">
              <w:r w:rsidRPr="008A24C6"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0"/>
                  <w:szCs w:val="20"/>
                  <w:lang w:val="en-US"/>
                </w:rPr>
                <w:t>Francis Kalemeera</w:t>
              </w:r>
            </w:hyperlink>
            <w:r w:rsidRPr="008A24C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(2021).  </w:t>
            </w:r>
            <w:r w:rsidRPr="008A24C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Antibiotics' susceptibility patterns of bacterial isolates causing lower respiratory tract infections in ICU patients at referral hospitals in Namibia.</w:t>
            </w:r>
            <w:r>
              <w:t xml:space="preserve"> </w:t>
            </w:r>
            <w:r w:rsidRPr="008A24C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Hosp </w:t>
            </w:r>
            <w:proofErr w:type="spellStart"/>
            <w:proofErr w:type="gramStart"/>
            <w:r w:rsidRPr="008A24C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Pract</w:t>
            </w:r>
            <w:proofErr w:type="spellEnd"/>
            <w:r w:rsidRPr="008A24C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.</w:t>
            </w:r>
            <w:proofErr w:type="gramEnd"/>
            <w:r w:rsidRPr="008A24C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2021 Dec;49(5):356-363.</w:t>
            </w:r>
          </w:p>
          <w:p w14:paraId="04BD03EA" w14:textId="77777777" w:rsidR="00E96B0D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F4005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doi</w:t>
            </w:r>
            <w:proofErr w:type="spellEnd"/>
            <w:r w:rsidRPr="00AC21E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: 10.1080/21548331.2021.1973825.</w:t>
            </w:r>
            <w:r w:rsidRPr="000F4005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24BC959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415E42" w14:paraId="6F05CBC8" w14:textId="77777777" w:rsidTr="4817C257">
        <w:tc>
          <w:tcPr>
            <w:tcW w:w="9322" w:type="dxa"/>
          </w:tcPr>
          <w:p w14:paraId="736253B1" w14:textId="77777777" w:rsidR="00E96B0D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Dan Kibuule, Jennie Lates, Anthony Ishola, Ester Hango, 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Francis Kalemeera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et al. 2020. 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Migration to online pharmacy education in Namibia: Successes, challenges and competence implications. 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Pharmacy Education 20(2) 174 – 182.https://doi.org/10.46542/pe.202 0.202.174182 </w:t>
            </w:r>
          </w:p>
          <w:p w14:paraId="1E3193F4" w14:textId="77777777" w:rsidR="00E96B0D" w:rsidRPr="00415E42" w:rsidRDefault="00E96B0D" w:rsidP="00CA301D">
            <w:p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7EB15B55" w14:textId="77777777" w:rsidTr="4817C257">
        <w:tc>
          <w:tcPr>
            <w:tcW w:w="9322" w:type="dxa"/>
          </w:tcPr>
          <w:p w14:paraId="4C67B72F" w14:textId="77777777" w:rsidR="00E96B0D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Kalemeera</w:t>
            </w:r>
            <w:proofErr w:type="spellEnd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F,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Godman B,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Stergachis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 A, Rennie T. 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Tenofovir disoproxil fumarate associated nephrotoxicity:  a retrospective cohort study at two referral hospitals in Namibia.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 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Pharmacoepidemiol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Drug Saf. 2021 Feb;30 (2):189-200.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doi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: 10.1002/pds.5125.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Epub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2020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Oct 2.  PMID: 33006803. </w:t>
            </w:r>
          </w:p>
          <w:p w14:paraId="41EB65E8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415E42" w14:paraId="106BFB78" w14:textId="77777777" w:rsidTr="4817C257">
        <w:tc>
          <w:tcPr>
            <w:tcW w:w="9322" w:type="dxa"/>
          </w:tcPr>
          <w:p w14:paraId="7509B4DA" w14:textId="77777777" w:rsidR="00E96B0D" w:rsidRPr="00415E42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Ogunleye OO, Basu D, Mueller D, Sneddon J, Seaton RA, Yinka-Ogunleye AF,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Wamboga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J,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Miljković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N, Mwita JC,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Rwegerera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GM,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Massele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A, Patrick O, Niba LL,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Nsaikila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M, Rashed WM, Hussein MA, Hegazy R, Amu AA, Boahen-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Boaten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BB,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Matsebula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Z, Gwebu P,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Chirigo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B, Mkhabela N, Dlamini T, Sithole S, Malaza S, Dlamini S, Afriyie D, Asare GA, Amponsah SK, Sefah I, Oluka M,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Guantai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AN,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Opanga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SA,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Sarele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TV,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Mafisa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RK,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Chikowe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I,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Khuluza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F,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Kibuule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D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Kalemeera</w:t>
            </w:r>
            <w:proofErr w:type="spellEnd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F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et al., (2020). 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Response to the Novel Corona Virus (COVID-19) Pandemic Across Africa: Successes, Challenges, and Implications for the Future.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Front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Pharmacol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. 2020 Sep </w:t>
            </w:r>
            <w:proofErr w:type="gram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11;11:1205</w:t>
            </w:r>
            <w:proofErr w:type="gram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doi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: 10.3389/fphar.2020.01205. PMID: 33071775; PMCID: PMC7533592.</w:t>
            </w:r>
          </w:p>
        </w:tc>
      </w:tr>
      <w:tr w:rsidR="00E96B0D" w:rsidRPr="00415E42" w14:paraId="0E5E4C8D" w14:textId="77777777" w:rsidTr="4817C257">
        <w:tc>
          <w:tcPr>
            <w:tcW w:w="9322" w:type="dxa"/>
            <w:tcBorders>
              <w:bottom w:val="nil"/>
            </w:tcBorders>
          </w:tcPr>
          <w:p w14:paraId="199AF034" w14:textId="77777777" w:rsidR="00E96B0D" w:rsidRPr="00F33568" w:rsidRDefault="00E96B0D" w:rsidP="00E96B0D">
            <w:pPr>
              <w:pStyle w:val="ListParagraph"/>
              <w:numPr>
                <w:ilvl w:val="0"/>
                <w:numId w:val="1"/>
              </w:numPr>
              <w:spacing w:before="1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Brian Godman,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Debashis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Basu, Yogan Pillay, Paulo H. R. F. Almeida, Julius C. Mwita, Godfrey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Mutashambara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Rwegerera, Bene D Anand Paramadhas, Celda Tiroyakgosi,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Okwen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Patrick, Loveline Lum Niba, Israel Sefah, Margaret Oluka, Anastasia N Guantai, Dan Kibuule, 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Francis Kalemeera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et al., (2020) 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Ongoing and planned activities to improve the management of patients with Type 1 diabetes across Africa; implications for the future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Hospital Practice, 48:2, 51-67, DOI: 10.1080/21548331.2020.1745509</w:t>
            </w:r>
          </w:p>
          <w:p w14:paraId="67FDCAE9" w14:textId="77777777" w:rsidR="00E96B0D" w:rsidRPr="00415E42" w:rsidRDefault="00E96B0D" w:rsidP="00CA301D">
            <w:p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3FB80307" w14:textId="77777777" w:rsidTr="4817C257">
        <w:tc>
          <w:tcPr>
            <w:tcW w:w="9322" w:type="dxa"/>
            <w:tcBorders>
              <w:bottom w:val="nil"/>
            </w:tcBorders>
          </w:tcPr>
          <w:p w14:paraId="52AB7305" w14:textId="77777777" w:rsidR="00E96B0D" w:rsidRPr="00E100D0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Brian Godman, Holly McCabe, Trudy D Leong, Debjani Mueller, Antony P. Martin, Iris Hoxha, Julius C. Mwita, Godfrey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Mutashambara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Rwegerera, Amos Massele, Juliana de Oliveira Costa, Renata Cristina Rezende Macedo do Nascimento, Livia Lovato Pires de Lemos, Konstantin Tachkov, Petya Milushewa,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Okwen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Patrick, Loveline Lum Niba, Ott Laius, Israel Sefah, Suhaj Abdulsalim, Fatemeh Soleymani, Anastasia N Guantai, Loice Achieng, Margaret Oluka, Arianit Jakupi, Konstantīns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Logviss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Mohamed Azmi Hassali, Dan Kibuule, 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Francis Kalemeera,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et al., (2020) 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Fixed dose drug combinations – are they pharmacoeconomically sound? Findings and implications especially for lower- and middle-income countries,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 Expert Review of Pharmacoeconomics &amp; Outcomes Research, 20:1, 1-26, DOI: </w:t>
            </w:r>
            <w:hyperlink r:id="rId14" w:history="1">
              <w:r w:rsidRPr="00C81B8B"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en-US"/>
                </w:rPr>
                <w:t>10.1080/14737167.2020.1734456</w:t>
              </w:r>
            </w:hyperlink>
          </w:p>
          <w:p w14:paraId="166870B1" w14:textId="77777777" w:rsidR="00E96B0D" w:rsidRPr="00C81B8B" w:rsidRDefault="00E96B0D" w:rsidP="00CA301D">
            <w:pPr>
              <w:pStyle w:val="ListParagraph"/>
              <w:spacing w:before="1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415E42" w14:paraId="1DE2D8D2" w14:textId="77777777" w:rsidTr="4817C257">
        <w:tc>
          <w:tcPr>
            <w:tcW w:w="9322" w:type="dxa"/>
            <w:tcBorders>
              <w:top w:val="nil"/>
            </w:tcBorders>
          </w:tcPr>
          <w:p w14:paraId="1158FD63" w14:textId="77777777" w:rsidR="00E96B0D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Godman B, Basu D, Pillay Y, Mwita JC, 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Rwegerera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GM, Anand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Paramadhas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BD,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Tiroyakgosi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C,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Okwen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PM, Niba LL,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Nonvignon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J, Sefah I, Oluka M,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Guantai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AN,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Kibuule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D, </w:t>
            </w:r>
            <w:proofErr w:type="spellStart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Kalemeera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F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et al., (2020) 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Review of Ongoing Activities and Challenges to Improve the Care of Patients With Type 2 Diabetes Across Africa and the Implications for the Future.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Front.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Pharmacol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. 11:108.  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doi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: 10.3389/fphar.2020.00108 </w:t>
            </w:r>
          </w:p>
          <w:p w14:paraId="1DFD6A47" w14:textId="77777777" w:rsidR="00E96B0D" w:rsidRPr="00415E42" w:rsidRDefault="00E96B0D" w:rsidP="00CA301D">
            <w:p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415E42" w14:paraId="616E80BB" w14:textId="77777777" w:rsidTr="4817C257">
        <w:tc>
          <w:tcPr>
            <w:tcW w:w="9322" w:type="dxa"/>
          </w:tcPr>
          <w:p w14:paraId="22A4BE84" w14:textId="77777777" w:rsidR="00E96B0D" w:rsidRPr="00545D02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45D0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Kudzinesta</w:t>
            </w:r>
            <w:proofErr w:type="spellEnd"/>
            <w:r w:rsidRPr="00545D0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M, Mubita M, </w:t>
            </w:r>
            <w:proofErr w:type="spellStart"/>
            <w:r w:rsidRPr="00545D0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Kalemeera</w:t>
            </w:r>
            <w:proofErr w:type="spellEnd"/>
            <w:r w:rsidRPr="00545D0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F</w:t>
            </w:r>
            <w:r w:rsidRPr="00545D0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Godman B, Hango E, </w:t>
            </w:r>
            <w:proofErr w:type="spellStart"/>
            <w:r w:rsidRPr="00545D0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Kibuule</w:t>
            </w:r>
            <w:proofErr w:type="spellEnd"/>
            <w:r w:rsidRPr="00545D0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D. </w:t>
            </w:r>
            <w:r w:rsidRPr="00545D02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Utility of medicines information leaflets in hypertensive care in a setting with low health literacy: A cross-sectional study.</w:t>
            </w:r>
            <w:r w:rsidRPr="00545D0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Medicine </w:t>
            </w:r>
            <w:proofErr w:type="gramStart"/>
            <w:r w:rsidRPr="00545D0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Access @</w:t>
            </w:r>
            <w:proofErr w:type="gramEnd"/>
            <w:r w:rsidRPr="00545D0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Point of Care. 2020;4. doi:10.1177/2399202620910031</w:t>
            </w:r>
          </w:p>
          <w:p w14:paraId="252D99B5" w14:textId="77777777" w:rsidR="00E96B0D" w:rsidRPr="00415E42" w:rsidRDefault="00E96B0D" w:rsidP="00CA301D">
            <w:p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61DECF0E" w14:textId="77777777" w:rsidTr="4817C257">
        <w:tc>
          <w:tcPr>
            <w:tcW w:w="9322" w:type="dxa"/>
          </w:tcPr>
          <w:p w14:paraId="674D66D0" w14:textId="77777777" w:rsidR="00E96B0D" w:rsidRPr="00C81B8B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Kalemeera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B. Godman, A.  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Stergachis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&amp; T. Rennie (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2020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) 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Effect of TDF-containing regimens on creatinine clearance in HIV patients in Namibia with a baseline </w:t>
            </w:r>
            <w:proofErr w:type="spellStart"/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CrCl</w:t>
            </w:r>
            <w:proofErr w:type="spellEnd"/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 &lt;60ml/min; findings and implications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Hospital Practice, DOI: 10.1080/21548331.2020.1703438 </w:t>
            </w:r>
          </w:p>
          <w:p w14:paraId="1F6E3472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46739884" w14:textId="77777777" w:rsidTr="4817C257">
        <w:tc>
          <w:tcPr>
            <w:tcW w:w="9322" w:type="dxa"/>
          </w:tcPr>
          <w:p w14:paraId="3BBA3D87" w14:textId="77777777" w:rsidR="00E96B0D" w:rsidRPr="00C81B8B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Brian Godman, Christoffel Grobler, Marianne Van-De-Lisle, Janney Wale, Wallace Breno Barbosa, Amos Massele, Philip Opondo,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Guenka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 Petrova Konstantin Tachkov Israel Sefah Suhaj Abdulsalim Alian A. Alrasheedy,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Mazhuvancherry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 Kesavan Unnikrishnan, Kristina Garuoliene, Kayode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Bamitale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Dan Kibuule, 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Francis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Kalemeera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et al., (2019). 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Pharmacotherapeutic interventions for bipolar disorder type II: addressing multiple symptoms and approaches with a particular emphasis on strategies in lower and middle-income countries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Expert Opinion on Pharmacotherapy, 20:18, 2237-2255, DOI: 10.1080/14656566.2019.1684473 </w:t>
            </w:r>
          </w:p>
          <w:p w14:paraId="72D73E07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667570F1" w14:textId="77777777" w:rsidTr="4817C257">
        <w:tc>
          <w:tcPr>
            <w:tcW w:w="9322" w:type="dxa"/>
            <w:tcBorders>
              <w:bottom w:val="nil"/>
            </w:tcBorders>
          </w:tcPr>
          <w:p w14:paraId="5BAED119" w14:textId="77777777" w:rsidR="00E96B0D" w:rsidRPr="00C81B8B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P.A.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Mataranyika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D.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Kibuule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F. </w:t>
            </w:r>
            <w:proofErr w:type="spellStart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Kalemeera</w:t>
            </w:r>
            <w:proofErr w:type="spellEnd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H. Kaura, B. Godman, W.T. Rennie (2017). 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Liver enzyme elevations in a cohort of HIV/AIDS patients   on    first-line antiretroviral   therapy in Namibia: Findings and implications.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  Alex J Med (2017), </w:t>
            </w:r>
            <w:hyperlink r:id="rId15" w:tgtFrame="_blank" w:history="1">
              <w:r w:rsidRPr="00C81B8B"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en-US"/>
                </w:rPr>
                <w:t>http://dx.doi.org/10.1016/j.ajme.2017.03.002</w:t>
              </w:r>
            </w:hyperlink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 </w:t>
            </w:r>
          </w:p>
          <w:p w14:paraId="5C98A16B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6AD058CA" w14:textId="77777777" w:rsidTr="4817C257">
        <w:tc>
          <w:tcPr>
            <w:tcW w:w="9322" w:type="dxa"/>
            <w:tcBorders>
              <w:bottom w:val="nil"/>
            </w:tcBorders>
          </w:tcPr>
          <w:p w14:paraId="427ABD0B" w14:textId="77777777" w:rsidR="00E96B0D" w:rsidRPr="00C81B8B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Godman B,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Bucsics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A, Vella Bonanno P,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Oortwijn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W, Rothe CC, Ferrario A,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Bosselli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S, Hill A, Martin AP, Simoens S, Kurdi A, Gad M,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Gulbinovič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J, Timoney A, Bochenek  T,  Salem  A,   Hoxha I,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Sauermann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R,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Massele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A, Guerra AA Jr, Petrova G,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Mitkova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Z, 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Achniotou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G, Laius O,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Sermet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C, Selke G, 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Kourafalos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V, 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Yfantopoulos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J, Magnusson  E,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Joppi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R, Oluka M,  Kwon H-Y, Jakupi A, </w:t>
            </w:r>
            <w:proofErr w:type="spellStart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Kalemeera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F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et al., (2018). 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Barriers for Access to New Medicines: Searching for the Balance Between Rising Costs and Limited Budgets.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Front. Public Health 6:328. 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doi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: 10.3389/fpubh.2018.00328 </w:t>
            </w:r>
          </w:p>
          <w:p w14:paraId="79B3339F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3DCF9832" w14:textId="77777777" w:rsidTr="4817C257">
        <w:tc>
          <w:tcPr>
            <w:tcW w:w="9322" w:type="dxa"/>
            <w:tcBorders>
              <w:top w:val="nil"/>
            </w:tcBorders>
          </w:tcPr>
          <w:p w14:paraId="55EB2B4D" w14:textId="77777777" w:rsidR="00E96B0D" w:rsidRPr="00C81B8B" w:rsidRDefault="00E96B0D" w:rsidP="4817C257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4817C25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Francis Kalemeera</w:t>
            </w:r>
            <w:proofErr w:type="gramStart"/>
            <w:r w:rsidRPr="4817C25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,</w:t>
            </w:r>
            <w:r w:rsidRPr="4817C25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US"/>
              </w:rPr>
              <w:t xml:space="preserve"> ,</w:t>
            </w:r>
            <w:proofErr w:type="gramEnd"/>
            <w:r w:rsidRPr="4817C25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US"/>
              </w:rPr>
              <w:t xml:space="preserve"> Carla Oberholster, Innocent </w:t>
            </w:r>
            <w:proofErr w:type="spellStart"/>
            <w:r w:rsidRPr="4817C25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US"/>
              </w:rPr>
              <w:t>Segamwenge</w:t>
            </w:r>
            <w:proofErr w:type="spellEnd"/>
            <w:r w:rsidRPr="4817C25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US"/>
              </w:rPr>
              <w:t xml:space="preserve">, Dan Kibuule, Ester Naikaku, </w:t>
            </w:r>
            <w:proofErr w:type="spellStart"/>
            <w:r w:rsidRPr="4817C25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US"/>
              </w:rPr>
              <w:t>Mwangana</w:t>
            </w:r>
            <w:proofErr w:type="spellEnd"/>
            <w:r w:rsidRPr="4817C25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4817C25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US"/>
              </w:rPr>
              <w:t>Mubita  and</w:t>
            </w:r>
            <w:proofErr w:type="gramEnd"/>
            <w:r w:rsidRPr="4817C25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US"/>
              </w:rPr>
              <w:t xml:space="preserve"> Brian Godman (2018). </w:t>
            </w:r>
            <w:r w:rsidRPr="4817C257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  <w:lang w:val="en-US"/>
              </w:rPr>
              <w:t>Renal function outcomes in patients receiving TDF – containing antiretroviral therapy: a retrospective pilot study in Namibia.</w:t>
            </w:r>
            <w:r w:rsidRPr="4817C25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US"/>
              </w:rPr>
              <w:t xml:space="preserve"> IJPSR, </w:t>
            </w:r>
            <w:r w:rsidRPr="4817C25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2018</w:t>
            </w:r>
            <w:r w:rsidRPr="4817C25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lang w:val="en-US"/>
              </w:rPr>
              <w:t>; Vol. 9(10): 4273-4279.</w:t>
            </w:r>
          </w:p>
          <w:p w14:paraId="39E914CC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207B3312" w14:textId="77777777" w:rsidTr="4817C257">
        <w:tc>
          <w:tcPr>
            <w:tcW w:w="9322" w:type="dxa"/>
          </w:tcPr>
          <w:p w14:paraId="600E97F2" w14:textId="77777777" w:rsidR="00E96B0D" w:rsidRPr="00FD79C3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A5629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it-IT"/>
              </w:rPr>
              <w:t xml:space="preserve">Nashilongo, M.M., Singu, B., </w:t>
            </w:r>
            <w:r w:rsidRPr="00A5629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it-IT"/>
              </w:rPr>
              <w:t>Kalemeera, F</w:t>
            </w:r>
            <w:r w:rsidRPr="00A5629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it-IT"/>
              </w:rPr>
              <w:t>. et al. </w:t>
            </w:r>
            <w:r w:rsidRPr="00A56292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Assessing Adherence to Antihypertensive Therapy in Primary Health Care in Namibia: Findings and Implications. </w:t>
            </w:r>
            <w:r w:rsidRPr="00A5629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Cardiovasc Drugs Ther 31, 565–578 (2017). </w:t>
            </w:r>
            <w:hyperlink r:id="rId16" w:history="1">
              <w:r w:rsidRPr="007762CD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https://doi.org/10.1007/s10557-017-6756-8</w:t>
              </w:r>
            </w:hyperlink>
          </w:p>
          <w:p w14:paraId="2AE7FA54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F82DE6" w14:paraId="189DB604" w14:textId="77777777" w:rsidTr="4817C257">
        <w:tc>
          <w:tcPr>
            <w:tcW w:w="9322" w:type="dxa"/>
          </w:tcPr>
          <w:p w14:paraId="3163091D" w14:textId="77777777" w:rsidR="00E96B0D" w:rsidRPr="00C81B8B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Peslie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G Ngambi, Aubrey C Kalungia, Michael R Law, 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Francis Kalemeera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 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IIse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Truter, Brian Godman &amp; Derick Munkombwe (2017) 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Evidence on the cost-effectiveness of lifelong antiretroviral therapy for prevention of mother-to-child transmission of HIV: implications for resource-limited countries in sub-Saharan Africa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 Expert Review of Pharmacoeconomics &amp; Outcomes Research, 17:5, 459-467, DOI: 10.1080/14737167.2017.1364161 </w:t>
            </w:r>
          </w:p>
          <w:p w14:paraId="3F6173A1" w14:textId="77777777" w:rsidR="00E96B0D" w:rsidRPr="00F82DE6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96B0D" w:rsidRPr="00F82DE6" w14:paraId="668453C5" w14:textId="77777777" w:rsidTr="4817C257">
        <w:tc>
          <w:tcPr>
            <w:tcW w:w="9322" w:type="dxa"/>
          </w:tcPr>
          <w:p w14:paraId="755C78B6" w14:textId="77777777" w:rsidR="00E96B0D" w:rsidRPr="00C81B8B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S.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Nakwatumbah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D.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Kibuule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B. Godman, V.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Haakuria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F. </w:t>
            </w:r>
            <w:proofErr w:type="spellStart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Kalemeera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 A. Baker &amp; M. Mubita (2017) 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Compliance to guidelines for the prescribing of antibiotics in acute infections at Namibia’s national referral hospital: a pilot study and the implications,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Expert Review of Anti-infective Therapy, 15:7, 713-721, DOI: 10.1080/14787210.2017.1320220 </w:t>
            </w:r>
          </w:p>
          <w:p w14:paraId="778FE655" w14:textId="77777777" w:rsidR="00E96B0D" w:rsidRPr="00F82DE6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E96B0D" w:rsidRPr="00C81B8B" w14:paraId="7C94DC91" w14:textId="77777777" w:rsidTr="4817C257">
        <w:tc>
          <w:tcPr>
            <w:tcW w:w="9322" w:type="dxa"/>
          </w:tcPr>
          <w:p w14:paraId="7D8EA75F" w14:textId="77777777" w:rsidR="00E96B0D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Dan Kibuule,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Mwangana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Mubita, Ester Naikaku, 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Francis Kalemeera,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Brian Godman and Evans Sagwa (2017). 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An analysis of policies for cotrimoxazole, amoxicillin and azithromycin use in </w:t>
            </w:r>
            <w:proofErr w:type="spellStart"/>
            <w:proofErr w:type="gramStart"/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Namibias</w:t>
            </w:r>
            <w:proofErr w:type="spellEnd"/>
            <w:proofErr w:type="gramEnd"/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public sector: Findings and therapeutic implications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. Int J Clin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Pract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2017; 110 </w:t>
            </w:r>
          </w:p>
          <w:p w14:paraId="64B7DC8C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7E142257" w14:textId="77777777" w:rsidTr="4817C257">
        <w:tc>
          <w:tcPr>
            <w:tcW w:w="9322" w:type="dxa"/>
            <w:tcBorders>
              <w:bottom w:val="nil"/>
            </w:tcBorders>
          </w:tcPr>
          <w:p w14:paraId="75DEB496" w14:textId="77777777" w:rsidR="00E96B0D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Amos Massele,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Johanita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Burger, 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Francis Kalemeera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Mary Jande,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Thatayaone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Didimalang, Aubrey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Chichonyi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Kalungia, Kidwell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Matshotyana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Michael Law, Brighid Malone, Olayinka Ogunleye, Margaret Oluka, Bene D Paramadhas, Godfrey Rwegerera,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Sekesai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Zinyowera &amp; Brian Godman (2017) 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Outcome of the second Medicines </w:t>
            </w:r>
            <w:proofErr w:type="spellStart"/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Utilisation</w:t>
            </w:r>
            <w:proofErr w:type="spellEnd"/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Research in Africa Group meeting to promote sustainable and appropriate medicine use in Africa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Expert Review of Pharmacoeconomics &amp; Outcomes Research, 17:2, 149-152, DOI: 10.1080/14737167.2017.1256775</w:t>
            </w:r>
          </w:p>
          <w:p w14:paraId="7BC2DFE4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4CE8CBE3" w14:textId="77777777" w:rsidTr="4817C257">
        <w:tc>
          <w:tcPr>
            <w:tcW w:w="9322" w:type="dxa"/>
            <w:tcBorders>
              <w:bottom w:val="nil"/>
            </w:tcBorders>
          </w:tcPr>
          <w:p w14:paraId="65764ED3" w14:textId="77777777" w:rsidR="00E96B0D" w:rsidRPr="00C81B8B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Kalemeera</w:t>
            </w:r>
            <w:proofErr w:type="spellEnd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, F.,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Naikaku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E., Mubita, M., &amp;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Kibuule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D. (2016). 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Current and former students’ views on two different methods of classroom-based teaching in pharmaceutical care: University of Namibia.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Pharmacy Education, 16. Retrieved from https://pharmacyeducation.fip.org/pharmacyeducation/article/view/406</w:t>
            </w:r>
          </w:p>
          <w:p w14:paraId="06BAF229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79BC0934" w14:textId="77777777" w:rsidTr="4817C257">
        <w:tc>
          <w:tcPr>
            <w:tcW w:w="9322" w:type="dxa"/>
            <w:tcBorders>
              <w:top w:val="nil"/>
            </w:tcBorders>
          </w:tcPr>
          <w:p w14:paraId="19E297C3" w14:textId="77777777" w:rsidR="00E96B0D" w:rsidRPr="00C81B8B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CE1C1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Francis Kalemeera,</w:t>
            </w:r>
            <w:r w:rsidRPr="00CE1C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it-IT"/>
              </w:rPr>
              <w:t xml:space="preserve"> Christofina  Mbango, Mawgana Mubita, Esther Naikaku, Razia Gaida and Brian Godman (2016). 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Effect of changing from first- to second- line antiretroviral therapy on renal function: a retrospective study based on data from a single health facility </w:t>
            </w:r>
            <w:proofErr w:type="gramStart"/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in  Namibia</w:t>
            </w:r>
            <w:proofErr w:type="gram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Expert Review of Anti-infective Therapy, 14:8, 777-783, DOI: 10.1080/14787210.2016.1202759 </w:t>
            </w:r>
          </w:p>
          <w:p w14:paraId="24E4D494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0B2746E2" w14:textId="77777777" w:rsidTr="4817C257">
        <w:tc>
          <w:tcPr>
            <w:tcW w:w="9322" w:type="dxa"/>
          </w:tcPr>
          <w:p w14:paraId="3DBA0F1F" w14:textId="77777777" w:rsidR="00E96B0D" w:rsidRPr="0036218A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36218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Kalemeera</w:t>
            </w:r>
            <w:proofErr w:type="spellEnd"/>
            <w:r w:rsidRPr="0036218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F,</w:t>
            </w:r>
            <w:r w:rsidRPr="0036218A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  <w:t xml:space="preserve"> Mengistu AT, </w:t>
            </w:r>
            <w:proofErr w:type="spellStart"/>
            <w:r w:rsidRPr="0036218A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  <w:t>Gaeseb</w:t>
            </w:r>
            <w:proofErr w:type="spellEnd"/>
            <w:r w:rsidRPr="0036218A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  <w:t xml:space="preserve"> J. </w:t>
            </w:r>
            <w:r w:rsidRPr="0036218A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  <w:lang w:eastAsia="en-GB"/>
              </w:rPr>
              <w:t>Assessment of the nevirapine safety signal using data from the national antiretroviral dispensing database: a retrospective study.</w:t>
            </w:r>
            <w:r w:rsidRPr="0036218A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  <w:t xml:space="preserve"> J Pharm Policy </w:t>
            </w:r>
            <w:proofErr w:type="spellStart"/>
            <w:r w:rsidRPr="0036218A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  <w:t>Pract</w:t>
            </w:r>
            <w:proofErr w:type="spellEnd"/>
            <w:r w:rsidRPr="0036218A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  <w:t xml:space="preserve">. 2016 Feb </w:t>
            </w:r>
            <w:proofErr w:type="gramStart"/>
            <w:r w:rsidRPr="0036218A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  <w:t>15;9:5</w:t>
            </w:r>
            <w:proofErr w:type="gramEnd"/>
            <w:r w:rsidRPr="0036218A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36218A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  <w:t>doi</w:t>
            </w:r>
            <w:proofErr w:type="spellEnd"/>
            <w:r w:rsidRPr="0036218A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  <w:t>: 10.1186/s40545-016-0054-x. PMID: 26881055; PMCID: PMC4753655.</w:t>
            </w:r>
          </w:p>
          <w:p w14:paraId="25E2DC39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7C14" w14:paraId="0ECEC42E" w14:textId="77777777" w:rsidTr="4817C257">
        <w:tc>
          <w:tcPr>
            <w:tcW w:w="9322" w:type="dxa"/>
          </w:tcPr>
          <w:p w14:paraId="7CD70D36" w14:textId="77777777" w:rsidR="00E96B0D" w:rsidRPr="00C81B8B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Amos Massele,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Johanita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Burger, Norah L Katende-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Kyenda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Francis Kalemeera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Thatoyaone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Kenaope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Dan Kibuule, Ogochukwu Mbachu,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Mwangana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Mubita, Margaret Oluka,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Adedunni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Olusanya, Bene D Anand Paramadhas, Paulina van Zyl &amp; Brian Godman (2015) 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Outcome of the first Medicines Utilization Research in Africa group meeting to promote sustainable and rational medicine use in Africa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Expert Review of Pharmacoeconomics &amp; Outcomes Research, 15:6, 885-888, DOI: 10.1586/14737167.2015.1088386</w:t>
            </w:r>
          </w:p>
          <w:p w14:paraId="6122CAE6" w14:textId="77777777" w:rsidR="00E96B0D" w:rsidRPr="00C87C14" w:rsidRDefault="00E96B0D" w:rsidP="00CA301D">
            <w:pPr>
              <w:spacing w:before="20" w:after="2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1762D1FF" w14:textId="77777777" w:rsidTr="4817C257">
        <w:tc>
          <w:tcPr>
            <w:tcW w:w="9322" w:type="dxa"/>
          </w:tcPr>
          <w:p w14:paraId="2D48DE65" w14:textId="77777777" w:rsidR="00E96B0D" w:rsidRPr="001B1FCB" w:rsidRDefault="00E96B0D" w:rsidP="00E96B0D">
            <w:pPr>
              <w:pStyle w:val="ListParagraph"/>
              <w:numPr>
                <w:ilvl w:val="0"/>
                <w:numId w:val="1"/>
              </w:numPr>
              <w:spacing w:before="120" w:after="20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1B1FC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Kalemeera</w:t>
            </w:r>
            <w:proofErr w:type="spellEnd"/>
            <w:r w:rsidRPr="001B1FC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, F</w:t>
            </w:r>
            <w:r w:rsidRPr="001B1FCB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  <w:t xml:space="preserve">., Mengistu, A.T. &amp; </w:t>
            </w:r>
            <w:proofErr w:type="spellStart"/>
            <w:r w:rsidRPr="001B1FCB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  <w:t>Gaeseb</w:t>
            </w:r>
            <w:proofErr w:type="spellEnd"/>
            <w:r w:rsidRPr="001B1FCB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  <w:t xml:space="preserve">, J. </w:t>
            </w:r>
            <w:r w:rsidRPr="001B1FCB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  <w:lang w:eastAsia="en-GB"/>
              </w:rPr>
              <w:t>Tenofovir substitution in Namibia based on an analysis of the antiretroviral dispensing database.</w:t>
            </w:r>
            <w:r w:rsidRPr="001B1FCB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  <w:t xml:space="preserve"> J of Pharm Policy and </w:t>
            </w:r>
            <w:proofErr w:type="spellStart"/>
            <w:r w:rsidRPr="001B1FCB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  <w:t>Pract</w:t>
            </w:r>
            <w:proofErr w:type="spellEnd"/>
            <w:r w:rsidRPr="001B1FCB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  <w:t xml:space="preserve"> 8, 14 (</w:t>
            </w:r>
            <w:r w:rsidRPr="001B1FC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2015</w:t>
            </w:r>
            <w:r w:rsidRPr="001B1FCB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en-GB"/>
              </w:rPr>
              <w:t xml:space="preserve">). </w:t>
            </w:r>
            <w:hyperlink r:id="rId17" w:history="1">
              <w:r w:rsidRPr="001B1FCB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https://doi.org/10.1186/s40545-015-0034-6</w:t>
              </w:r>
            </w:hyperlink>
            <w:r w:rsidRPr="001B1FCB">
              <w:rPr>
                <w:rStyle w:val="Hyperlink"/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ass</w:t>
            </w:r>
          </w:p>
          <w:p w14:paraId="5F889FAE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7165BFB4" w14:textId="77777777" w:rsidTr="4817C257">
        <w:tc>
          <w:tcPr>
            <w:tcW w:w="9322" w:type="dxa"/>
          </w:tcPr>
          <w:p w14:paraId="451ED9CF" w14:textId="77777777" w:rsidR="00E96B0D" w:rsidRPr="00C81B8B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Rudall, N., </w:t>
            </w:r>
            <w:proofErr w:type="spellStart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Kalemeera</w:t>
            </w:r>
            <w:proofErr w:type="spellEnd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, F.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&amp; Rennie, T. 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Implementing clinical pharmacy within undergraduate teaching in Namibia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. Int J Clin Pharm 37, 427–429 (2015). </w:t>
            </w:r>
            <w:hyperlink r:id="rId18" w:history="1">
              <w:r w:rsidRPr="00C81B8B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US"/>
                </w:rPr>
                <w:t>https://doi.org/10.1007/s11096-015-0082-7</w:t>
              </w:r>
            </w:hyperlink>
          </w:p>
          <w:p w14:paraId="4B96C08D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41F9CF7C" w14:textId="77777777" w:rsidTr="4817C257">
        <w:tc>
          <w:tcPr>
            <w:tcW w:w="9322" w:type="dxa"/>
            <w:tcBorders>
              <w:bottom w:val="nil"/>
            </w:tcBorders>
          </w:tcPr>
          <w:p w14:paraId="67785E77" w14:textId="77777777" w:rsidR="00E96B0D" w:rsidRPr="00C81B8B" w:rsidRDefault="00E96B0D" w:rsidP="00E96B0D">
            <w:pPr>
              <w:pStyle w:val="ListParagraph"/>
              <w:numPr>
                <w:ilvl w:val="0"/>
                <w:numId w:val="1"/>
              </w:numPr>
              <w:spacing w:before="1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Mengistu A,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Gaeseb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J,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Uaaka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G, 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Ndjavera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C,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Kambyambya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K, </w:t>
            </w:r>
            <w:proofErr w:type="gram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Indigo  L</w:t>
            </w:r>
            <w:proofErr w:type="gram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Kalemeera</w:t>
            </w:r>
            <w:proofErr w:type="spellEnd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F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Ntege C,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Mabirizi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D,  Joshi</w:t>
            </w:r>
            <w:proofErr w:type="gram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MP, Sagwa E. </w:t>
            </w:r>
            <w:proofErr w:type="gramStart"/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Antimicrobial  sensitivity</w:t>
            </w:r>
            <w:proofErr w:type="gramEnd"/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patterns of </w:t>
            </w:r>
            <w:proofErr w:type="gramStart"/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cerebrospinal  fluid</w:t>
            </w:r>
            <w:proofErr w:type="gramEnd"/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(CSF) isolates in Namibia:  implications for empirical antibiotic treatment of meningitis.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J Pharm Policy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Pract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2013 13;6.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Epub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2013 Jun 13. </w:t>
            </w:r>
          </w:p>
          <w:p w14:paraId="0FCCE1A9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6B0D" w:rsidRPr="00C81B8B" w14:paraId="51CE56F3" w14:textId="77777777" w:rsidTr="4817C257">
        <w:tc>
          <w:tcPr>
            <w:tcW w:w="9322" w:type="dxa"/>
            <w:tcBorders>
              <w:bottom w:val="nil"/>
            </w:tcBorders>
          </w:tcPr>
          <w:p w14:paraId="27999FA4" w14:textId="77777777" w:rsidR="00E96B0D" w:rsidRPr="00C81B8B" w:rsidRDefault="00E96B0D" w:rsidP="00E96B0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Corbell C,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Katjitae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I, Mengistu A, </w:t>
            </w:r>
            <w:proofErr w:type="spellStart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Kalemeera</w:t>
            </w:r>
            <w:proofErr w:type="spellEnd"/>
            <w:r w:rsidRPr="00C81B8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F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Sagwa E,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Mabirizi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D, Lates J,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Nwokike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J, Fuller S,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Stergachis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 A. </w:t>
            </w:r>
            <w:r w:rsidRPr="00C81B8B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Records linkage of electronic databases for the assessment of adverse effects of antiretroviral therapy in sub-Saharan Africa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</w:t>
            </w:r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harmacoepidemiol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Drug Saf 2012 Apr 19;21(4):407-14. </w:t>
            </w:r>
            <w:proofErr w:type="spellStart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Epub</w:t>
            </w:r>
            <w:proofErr w:type="spellEnd"/>
            <w:r w:rsidRPr="00C81B8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2011 Oct 19. </w:t>
            </w:r>
          </w:p>
          <w:p w14:paraId="4B8E1704" w14:textId="77777777" w:rsidR="00E96B0D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color w:val="000000" w:themeColor="text1"/>
                <w:sz w:val="10"/>
                <w:szCs w:val="10"/>
                <w:lang w:val="en-US"/>
              </w:rPr>
            </w:pPr>
          </w:p>
          <w:p w14:paraId="2515D663" w14:textId="77777777" w:rsidR="00E96B0D" w:rsidRPr="00C81B8B" w:rsidRDefault="00E96B0D" w:rsidP="00CA301D">
            <w:pPr>
              <w:pStyle w:val="ListParagraph"/>
              <w:spacing w:before="20" w:after="2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23DB587" w14:textId="77777777" w:rsidR="001706F3" w:rsidRDefault="001706F3"/>
    <w:sectPr w:rsidR="00170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F53A2"/>
    <w:multiLevelType w:val="hybridMultilevel"/>
    <w:tmpl w:val="CE7880B6"/>
    <w:lvl w:ilvl="0" w:tplc="D332D5F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69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0D"/>
    <w:rsid w:val="00123A15"/>
    <w:rsid w:val="001706F3"/>
    <w:rsid w:val="00533FBE"/>
    <w:rsid w:val="006A7A92"/>
    <w:rsid w:val="009A67A2"/>
    <w:rsid w:val="00BE43F5"/>
    <w:rsid w:val="00C56B15"/>
    <w:rsid w:val="00CA301D"/>
    <w:rsid w:val="00E40449"/>
    <w:rsid w:val="00E96B0D"/>
    <w:rsid w:val="4817C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8071"/>
  <w15:chartTrackingRefBased/>
  <w15:docId w15:val="{965EC543-5E76-443C-A659-0E8F5554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B0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B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B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B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B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B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B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B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B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6B0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6B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Kibuule+D&amp;cauthor_id=34720025" TargetMode="External"/><Relationship Id="rId13" Type="http://schemas.openxmlformats.org/officeDocument/2006/relationships/hyperlink" Target="https://pubmed.ncbi.nlm.nih.gov/?size=200&amp;term=Kalemeera+F&amp;cauthor_id=34436942" TargetMode="External"/><Relationship Id="rId18" Type="http://schemas.openxmlformats.org/officeDocument/2006/relationships/hyperlink" Target="https://doi.org/10.1007/s11096-015-0082-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7324/JAPS.2022.120306" TargetMode="External"/><Relationship Id="rId12" Type="http://schemas.openxmlformats.org/officeDocument/2006/relationships/hyperlink" Target="https://pubmed.ncbi.nlm.nih.gov/?size=200&amp;term=Godman+B&amp;cauthor_id=34436942" TargetMode="External"/><Relationship Id="rId17" Type="http://schemas.openxmlformats.org/officeDocument/2006/relationships/hyperlink" Target="https://doi.org/10.1186/s40545-015-0034-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7/s10557-017-6756-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14740338.2022.2106368" TargetMode="External"/><Relationship Id="rId11" Type="http://schemas.openxmlformats.org/officeDocument/2006/relationships/hyperlink" Target="https://pubmed.ncbi.nlm.nih.gov/?size=200&amp;term=Simeon+P&amp;cauthor_id=34436942" TargetMode="External"/><Relationship Id="rId5" Type="http://schemas.openxmlformats.org/officeDocument/2006/relationships/hyperlink" Target="https://doi.org/10.1155/2023/9757348" TargetMode="External"/><Relationship Id="rId15" Type="http://schemas.openxmlformats.org/officeDocument/2006/relationships/hyperlink" Target="http://dx.doi.org/10.1016/j.ajme.2017.03.002" TargetMode="External"/><Relationship Id="rId10" Type="http://schemas.openxmlformats.org/officeDocument/2006/relationships/hyperlink" Target="https://pubmed.ncbi.nlm.nih.gov/34720025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term=Kalemeera+F&amp;cauthor_id=34720025" TargetMode="External"/><Relationship Id="rId14" Type="http://schemas.openxmlformats.org/officeDocument/2006/relationships/hyperlink" Target="https://doi.org/10.1080/14737167.2020.1734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2306</Words>
  <Characters>13148</Characters>
  <Application>Microsoft Office Word</Application>
  <DocSecurity>0</DocSecurity>
  <Lines>109</Lines>
  <Paragraphs>30</Paragraphs>
  <ScaleCrop>false</ScaleCrop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Kalemeera</dc:creator>
  <cp:keywords/>
  <dc:description/>
  <cp:lastModifiedBy>Sharon Hodge</cp:lastModifiedBy>
  <cp:revision>2</cp:revision>
  <dcterms:created xsi:type="dcterms:W3CDTF">2025-08-26T13:49:00Z</dcterms:created>
  <dcterms:modified xsi:type="dcterms:W3CDTF">2025-08-26T13:49:00Z</dcterms:modified>
</cp:coreProperties>
</file>